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2979" w:type="dxa"/>
        <w:tblLook w:val="04A0" w:firstRow="1" w:lastRow="0" w:firstColumn="1" w:lastColumn="0" w:noHBand="0" w:noVBand="1"/>
      </w:tblPr>
      <w:tblGrid>
        <w:gridCol w:w="1238"/>
        <w:gridCol w:w="2717"/>
        <w:gridCol w:w="2059"/>
        <w:gridCol w:w="1901"/>
        <w:gridCol w:w="540"/>
        <w:gridCol w:w="797"/>
        <w:gridCol w:w="1993"/>
        <w:gridCol w:w="1734"/>
      </w:tblGrid>
      <w:tr w:rsidR="00A04E75" w14:paraId="7E771482" w14:textId="77777777" w:rsidTr="006D2539">
        <w:tc>
          <w:tcPr>
            <w:tcW w:w="1238" w:type="dxa"/>
          </w:tcPr>
          <w:p w14:paraId="5E9243A3" w14:textId="77777777" w:rsidR="00A04E75" w:rsidRDefault="00A04E75" w:rsidP="006D2539">
            <w:r>
              <w:t>Program:</w:t>
            </w:r>
          </w:p>
        </w:tc>
        <w:tc>
          <w:tcPr>
            <w:tcW w:w="2717" w:type="dxa"/>
          </w:tcPr>
          <w:p w14:paraId="2C39BE59" w14:textId="27B5D347" w:rsidR="00A04E75" w:rsidRDefault="00A04E75" w:rsidP="006D2539"/>
        </w:tc>
        <w:tc>
          <w:tcPr>
            <w:tcW w:w="2059" w:type="dxa"/>
          </w:tcPr>
          <w:p w14:paraId="3E483905" w14:textId="77777777" w:rsidR="00A04E75" w:rsidRDefault="00A04E75" w:rsidP="006D2539">
            <w:r>
              <w:t>Reporting Time Period:</w:t>
            </w:r>
          </w:p>
        </w:tc>
        <w:tc>
          <w:tcPr>
            <w:tcW w:w="2441" w:type="dxa"/>
            <w:gridSpan w:val="2"/>
          </w:tcPr>
          <w:p w14:paraId="73C042BD" w14:textId="413ABC19" w:rsidR="00A04E75" w:rsidRDefault="00A04E75" w:rsidP="006D2539"/>
        </w:tc>
        <w:tc>
          <w:tcPr>
            <w:tcW w:w="2790" w:type="dxa"/>
            <w:gridSpan w:val="2"/>
          </w:tcPr>
          <w:p w14:paraId="31CD4944" w14:textId="77777777" w:rsidR="00A04E75" w:rsidRDefault="00A04E75" w:rsidP="006D2539">
            <w:r>
              <w:t>Date Annual Report Received:</w:t>
            </w:r>
          </w:p>
        </w:tc>
        <w:tc>
          <w:tcPr>
            <w:tcW w:w="1734" w:type="dxa"/>
          </w:tcPr>
          <w:p w14:paraId="2B80923E" w14:textId="761F174B" w:rsidR="00A04E75" w:rsidRDefault="00A04E75" w:rsidP="006D2539"/>
        </w:tc>
      </w:tr>
      <w:tr w:rsidR="00A04E75" w14:paraId="09705296" w14:textId="77777777" w:rsidTr="006D2539">
        <w:tc>
          <w:tcPr>
            <w:tcW w:w="1238" w:type="dxa"/>
            <w:tcBorders>
              <w:bottom w:val="single" w:sz="4" w:space="0" w:color="auto"/>
            </w:tcBorders>
          </w:tcPr>
          <w:p w14:paraId="395AC413" w14:textId="77777777" w:rsidR="00A04E75" w:rsidRDefault="00A04E75" w:rsidP="006D2539">
            <w:r>
              <w:t>Reviewer:</w:t>
            </w:r>
          </w:p>
        </w:tc>
        <w:tc>
          <w:tcPr>
            <w:tcW w:w="4776" w:type="dxa"/>
            <w:gridSpan w:val="2"/>
            <w:tcBorders>
              <w:bottom w:val="single" w:sz="4" w:space="0" w:color="auto"/>
            </w:tcBorders>
          </w:tcPr>
          <w:p w14:paraId="6A20E8B0" w14:textId="16A1D8EA" w:rsidR="00A04E75" w:rsidRDefault="00A04E75" w:rsidP="006D2539"/>
        </w:tc>
        <w:tc>
          <w:tcPr>
            <w:tcW w:w="3238" w:type="dxa"/>
            <w:gridSpan w:val="3"/>
            <w:tcBorders>
              <w:bottom w:val="single" w:sz="4" w:space="0" w:color="auto"/>
            </w:tcBorders>
          </w:tcPr>
          <w:p w14:paraId="0B8B9556" w14:textId="77777777" w:rsidR="00A04E75" w:rsidRDefault="00A04E75" w:rsidP="006D2539">
            <w:r>
              <w:t xml:space="preserve">Review Date: </w:t>
            </w:r>
          </w:p>
        </w:tc>
        <w:tc>
          <w:tcPr>
            <w:tcW w:w="3727" w:type="dxa"/>
            <w:gridSpan w:val="2"/>
            <w:tcBorders>
              <w:bottom w:val="single" w:sz="4" w:space="0" w:color="auto"/>
            </w:tcBorders>
          </w:tcPr>
          <w:p w14:paraId="04ECBF37" w14:textId="3CB0410F" w:rsidR="00A04E75" w:rsidRDefault="00A04E75" w:rsidP="006D2539"/>
        </w:tc>
      </w:tr>
      <w:tr w:rsidR="00A04E75" w14:paraId="226F4CFF" w14:textId="77777777" w:rsidTr="006D2539">
        <w:tc>
          <w:tcPr>
            <w:tcW w:w="7915"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1D0169" w14:textId="77777777" w:rsidR="00A04E75" w:rsidRPr="00955CF7" w:rsidRDefault="00A04E75" w:rsidP="006D2539">
            <w:pPr>
              <w:jc w:val="center"/>
              <w:rPr>
                <w:b/>
              </w:rPr>
            </w:pPr>
            <w:r w:rsidRPr="00955CF7">
              <w:rPr>
                <w:b/>
              </w:rPr>
              <w:t>Item</w:t>
            </w:r>
          </w:p>
        </w:tc>
        <w:tc>
          <w:tcPr>
            <w:tcW w:w="133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4CBE679" w14:textId="77777777" w:rsidR="00A04E75" w:rsidRPr="00955CF7" w:rsidRDefault="00A04E75" w:rsidP="006D2539">
            <w:pPr>
              <w:jc w:val="center"/>
              <w:rPr>
                <w:b/>
              </w:rPr>
            </w:pPr>
            <w:r w:rsidRPr="00955CF7">
              <w:rPr>
                <w:b/>
              </w:rPr>
              <w:t>In Annual Report: Y/N?</w:t>
            </w:r>
          </w:p>
        </w:tc>
        <w:tc>
          <w:tcPr>
            <w:tcW w:w="3727"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D5574D2" w14:textId="77777777" w:rsidR="00A04E75" w:rsidRPr="00955CF7" w:rsidRDefault="00A04E75" w:rsidP="006D2539">
            <w:pPr>
              <w:jc w:val="center"/>
              <w:rPr>
                <w:b/>
              </w:rPr>
            </w:pPr>
            <w:r w:rsidRPr="00955CF7">
              <w:rPr>
                <w:b/>
              </w:rPr>
              <w:t>Comments</w:t>
            </w:r>
          </w:p>
        </w:tc>
      </w:tr>
      <w:tr w:rsidR="00A04E75" w14:paraId="6D2F52EC"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22E988AA" w14:textId="77777777" w:rsidR="00A04E75" w:rsidRDefault="00A04E75" w:rsidP="006D2539">
            <w:pPr>
              <w:pStyle w:val="ListParagraph"/>
              <w:numPr>
                <w:ilvl w:val="0"/>
                <w:numId w:val="1"/>
              </w:numPr>
            </w:pPr>
            <w:r>
              <w:t>An updated list of the POTW’s Industrial Users by category as set forth in 40 C.F.R. 403.8(f)(2)(</w:t>
            </w:r>
            <w:proofErr w:type="spellStart"/>
            <w:r>
              <w:t>i</w:t>
            </w:r>
            <w:proofErr w:type="spellEnd"/>
            <w:r>
              <w:t>), to include:</w:t>
            </w:r>
          </w:p>
        </w:tc>
        <w:tc>
          <w:tcPr>
            <w:tcW w:w="5064" w:type="dxa"/>
            <w:gridSpan w:val="4"/>
            <w:tcBorders>
              <w:top w:val="single" w:sz="4" w:space="0" w:color="auto"/>
              <w:left w:val="single" w:sz="4" w:space="0" w:color="auto"/>
              <w:bottom w:val="single" w:sz="4" w:space="0" w:color="auto"/>
              <w:right w:val="single" w:sz="4" w:space="0" w:color="auto"/>
            </w:tcBorders>
          </w:tcPr>
          <w:p w14:paraId="742C93CF" w14:textId="77777777" w:rsidR="00A04E75" w:rsidRDefault="00A04E75" w:rsidP="006D2539"/>
        </w:tc>
      </w:tr>
      <w:tr w:rsidR="00A04E75" w14:paraId="64FDF06C"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4B8D2923" w14:textId="77777777" w:rsidR="00A04E75" w:rsidRDefault="00A04E75" w:rsidP="006D2539">
            <w:pPr>
              <w:pStyle w:val="ListParagraph"/>
              <w:numPr>
                <w:ilvl w:val="0"/>
                <w:numId w:val="2"/>
              </w:numPr>
            </w:pPr>
            <w:r>
              <w:t>Names and addresses, or a list of deletions and additions keyed to a previously submitted list.  The POTW shall provide a brief explanation of each deletion.  This list shall identify which Industrial Users are subject to categorical Pretreatment Standards and specify which Standards are applicable to each Industrial User.  The list shall indicate which Industrial Users are subject to local standards that are more stringent than the categorical Pretreatment Standards.  The POTW shall also list the Industrial Users that are subject only to local Requirements.  The list must also identify Industrial Users subject to categorical Pretreatment Standards that are subject to reduced reporting requirements under paragraph (e)(3) and identify which industrial Users are Non-Significant Categorical Industrial Users.</w:t>
            </w:r>
          </w:p>
        </w:tc>
        <w:tc>
          <w:tcPr>
            <w:tcW w:w="1337" w:type="dxa"/>
            <w:gridSpan w:val="2"/>
            <w:tcBorders>
              <w:top w:val="single" w:sz="4" w:space="0" w:color="auto"/>
              <w:left w:val="single" w:sz="4" w:space="0" w:color="auto"/>
              <w:bottom w:val="single" w:sz="4" w:space="0" w:color="auto"/>
              <w:right w:val="single" w:sz="4" w:space="0" w:color="auto"/>
            </w:tcBorders>
          </w:tcPr>
          <w:p w14:paraId="016FF1DF" w14:textId="21CD8DD0"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3E9E966F" w14:textId="65C617E3" w:rsidR="007A7AC4" w:rsidRDefault="007A7AC4" w:rsidP="006D2539">
            <w:r>
              <w:t xml:space="preserve"> </w:t>
            </w:r>
          </w:p>
        </w:tc>
      </w:tr>
      <w:tr w:rsidR="00A04E75" w14:paraId="2883020B"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7CFD4B34" w14:textId="77777777" w:rsidR="00A04E75" w:rsidRDefault="00A04E75" w:rsidP="006D2539">
            <w:pPr>
              <w:pStyle w:val="ListParagraph"/>
              <w:numPr>
                <w:ilvl w:val="0"/>
                <w:numId w:val="2"/>
              </w:numPr>
            </w:pPr>
            <w:r>
              <w:t xml:space="preserve">Permit status.  Whether each SIU has </w:t>
            </w:r>
            <w:proofErr w:type="gramStart"/>
            <w:r>
              <w:t>a</w:t>
            </w:r>
            <w:proofErr w:type="gramEnd"/>
            <w:r>
              <w:t xml:space="preserve"> unexpired control mechanism and an explanation as to why any SIUs are operating without a current, unexpired control mechanism (e.g. permit).</w:t>
            </w:r>
          </w:p>
        </w:tc>
        <w:tc>
          <w:tcPr>
            <w:tcW w:w="1337" w:type="dxa"/>
            <w:gridSpan w:val="2"/>
            <w:tcBorders>
              <w:top w:val="single" w:sz="4" w:space="0" w:color="auto"/>
              <w:left w:val="single" w:sz="4" w:space="0" w:color="auto"/>
              <w:bottom w:val="single" w:sz="4" w:space="0" w:color="auto"/>
              <w:right w:val="single" w:sz="4" w:space="0" w:color="auto"/>
            </w:tcBorders>
          </w:tcPr>
          <w:p w14:paraId="1C3B0048" w14:textId="7B8F498F"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1E867D56" w14:textId="4305FAF2" w:rsidR="00A04E75" w:rsidRDefault="00A04E75" w:rsidP="006D2539"/>
        </w:tc>
      </w:tr>
      <w:tr w:rsidR="00A04E75" w14:paraId="48A4305B"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44F22382" w14:textId="77777777" w:rsidR="00A04E75" w:rsidRDefault="00A04E75" w:rsidP="006D2539">
            <w:pPr>
              <w:pStyle w:val="ListParagraph"/>
              <w:numPr>
                <w:ilvl w:val="0"/>
                <w:numId w:val="2"/>
              </w:numPr>
            </w:pPr>
            <w:r>
              <w:t>Baseline monitoring reporting requirements for newly promulgated industries</w:t>
            </w:r>
          </w:p>
        </w:tc>
        <w:tc>
          <w:tcPr>
            <w:tcW w:w="1337" w:type="dxa"/>
            <w:gridSpan w:val="2"/>
            <w:tcBorders>
              <w:top w:val="single" w:sz="4" w:space="0" w:color="auto"/>
              <w:left w:val="single" w:sz="4" w:space="0" w:color="auto"/>
              <w:bottom w:val="single" w:sz="4" w:space="0" w:color="auto"/>
              <w:right w:val="single" w:sz="4" w:space="0" w:color="auto"/>
            </w:tcBorders>
          </w:tcPr>
          <w:p w14:paraId="1848FEF5" w14:textId="3D84CEFD"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369B07B" w14:textId="50C1FFF2" w:rsidR="00A04E75" w:rsidRDefault="00A04E75" w:rsidP="006D2539"/>
        </w:tc>
      </w:tr>
      <w:tr w:rsidR="00A04E75" w14:paraId="1268AAF4"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5DDFEC72" w14:textId="77777777" w:rsidR="00A04E75" w:rsidRDefault="00A04E75" w:rsidP="006D2539">
            <w:pPr>
              <w:pStyle w:val="ListParagraph"/>
              <w:numPr>
                <w:ilvl w:val="0"/>
                <w:numId w:val="2"/>
              </w:numPr>
            </w:pPr>
            <w:r>
              <w:t xml:space="preserve">In addition, a brief description of the industry and general activities </w:t>
            </w:r>
          </w:p>
        </w:tc>
        <w:tc>
          <w:tcPr>
            <w:tcW w:w="1337" w:type="dxa"/>
            <w:gridSpan w:val="2"/>
            <w:tcBorders>
              <w:top w:val="single" w:sz="4" w:space="0" w:color="auto"/>
              <w:left w:val="single" w:sz="4" w:space="0" w:color="auto"/>
              <w:bottom w:val="single" w:sz="4" w:space="0" w:color="auto"/>
              <w:right w:val="single" w:sz="4" w:space="0" w:color="auto"/>
            </w:tcBorders>
          </w:tcPr>
          <w:p w14:paraId="727EC600" w14:textId="1E124DE6"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47EE01F" w14:textId="18FA2DF6" w:rsidR="00A04E75" w:rsidRDefault="00A04E75" w:rsidP="006D2539"/>
        </w:tc>
      </w:tr>
      <w:tr w:rsidR="00A04E75" w14:paraId="4379D9FC"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54731421" w14:textId="77777777" w:rsidR="00A04E75" w:rsidRDefault="00A04E75" w:rsidP="006D2539">
            <w:pPr>
              <w:pStyle w:val="ListParagraph"/>
              <w:numPr>
                <w:ilvl w:val="0"/>
                <w:numId w:val="1"/>
              </w:numPr>
            </w:pPr>
            <w:r>
              <w:t>A summary of compliance and enforcement activities during the preceding year, including the number of:</w:t>
            </w:r>
          </w:p>
        </w:tc>
        <w:tc>
          <w:tcPr>
            <w:tcW w:w="5064" w:type="dxa"/>
            <w:gridSpan w:val="4"/>
            <w:tcBorders>
              <w:top w:val="single" w:sz="4" w:space="0" w:color="auto"/>
              <w:left w:val="single" w:sz="4" w:space="0" w:color="auto"/>
              <w:bottom w:val="single" w:sz="4" w:space="0" w:color="auto"/>
              <w:right w:val="single" w:sz="4" w:space="0" w:color="auto"/>
            </w:tcBorders>
          </w:tcPr>
          <w:p w14:paraId="5DD80663" w14:textId="77777777" w:rsidR="00A04E75" w:rsidRDefault="00A04E75" w:rsidP="006D2539"/>
        </w:tc>
      </w:tr>
      <w:tr w:rsidR="00A04E75" w14:paraId="5DC55E0F"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34AC601B" w14:textId="77777777" w:rsidR="00A04E75" w:rsidRDefault="00A04E75" w:rsidP="006D2539">
            <w:pPr>
              <w:pStyle w:val="ListParagraph"/>
              <w:numPr>
                <w:ilvl w:val="0"/>
                <w:numId w:val="3"/>
              </w:numPr>
            </w:pPr>
            <w:r>
              <w:t>Significant industrial users inspected by POTW (include inspection dates for each industrial user)</w:t>
            </w:r>
          </w:p>
        </w:tc>
        <w:tc>
          <w:tcPr>
            <w:tcW w:w="1337" w:type="dxa"/>
            <w:gridSpan w:val="2"/>
            <w:tcBorders>
              <w:top w:val="single" w:sz="4" w:space="0" w:color="auto"/>
              <w:left w:val="single" w:sz="4" w:space="0" w:color="auto"/>
              <w:bottom w:val="single" w:sz="4" w:space="0" w:color="auto"/>
              <w:right w:val="single" w:sz="4" w:space="0" w:color="auto"/>
            </w:tcBorders>
          </w:tcPr>
          <w:p w14:paraId="53EFB131" w14:textId="3F432B60"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2D6D8649" w14:textId="0EE3CBE8" w:rsidR="00A04E75" w:rsidRDefault="00A04E75" w:rsidP="006D2539"/>
        </w:tc>
      </w:tr>
      <w:tr w:rsidR="00A04E75" w14:paraId="64F70B07"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77B6407C" w14:textId="77777777" w:rsidR="00A04E75" w:rsidRDefault="00A04E75" w:rsidP="006D2539">
            <w:pPr>
              <w:pStyle w:val="ListParagraph"/>
              <w:numPr>
                <w:ilvl w:val="0"/>
                <w:numId w:val="3"/>
              </w:numPr>
            </w:pPr>
            <w:r>
              <w:t>Significant industrial users sampled by POTW (include sampling dates for each industrial user)</w:t>
            </w:r>
          </w:p>
        </w:tc>
        <w:tc>
          <w:tcPr>
            <w:tcW w:w="1337" w:type="dxa"/>
            <w:gridSpan w:val="2"/>
            <w:tcBorders>
              <w:top w:val="single" w:sz="4" w:space="0" w:color="auto"/>
              <w:left w:val="single" w:sz="4" w:space="0" w:color="auto"/>
              <w:bottom w:val="single" w:sz="4" w:space="0" w:color="auto"/>
              <w:right w:val="single" w:sz="4" w:space="0" w:color="auto"/>
            </w:tcBorders>
          </w:tcPr>
          <w:p w14:paraId="25D4C97D" w14:textId="54124870"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6F427E60" w14:textId="18366365" w:rsidR="00A04E75" w:rsidRDefault="00A04E75" w:rsidP="006D2539"/>
        </w:tc>
      </w:tr>
      <w:tr w:rsidR="00A04E75" w14:paraId="30D0E935"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746F09F2" w14:textId="77777777" w:rsidR="00A04E75" w:rsidRDefault="00A04E75" w:rsidP="006D2539">
            <w:pPr>
              <w:pStyle w:val="ListParagraph"/>
              <w:numPr>
                <w:ilvl w:val="0"/>
                <w:numId w:val="3"/>
              </w:numPr>
            </w:pPr>
            <w:r>
              <w:t>Compliance schedules issued (include list of subject users)</w:t>
            </w:r>
          </w:p>
        </w:tc>
        <w:tc>
          <w:tcPr>
            <w:tcW w:w="1337" w:type="dxa"/>
            <w:gridSpan w:val="2"/>
            <w:tcBorders>
              <w:top w:val="single" w:sz="4" w:space="0" w:color="auto"/>
              <w:left w:val="single" w:sz="4" w:space="0" w:color="auto"/>
              <w:bottom w:val="single" w:sz="4" w:space="0" w:color="auto"/>
              <w:right w:val="single" w:sz="4" w:space="0" w:color="auto"/>
            </w:tcBorders>
          </w:tcPr>
          <w:p w14:paraId="62DD7329" w14:textId="798FCD3D"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6497DB9C" w14:textId="1CC19C2B" w:rsidR="00A04E75" w:rsidRDefault="00A04E75" w:rsidP="006D2539"/>
        </w:tc>
      </w:tr>
      <w:tr w:rsidR="00A04E75" w14:paraId="298064CF"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598F618E" w14:textId="77777777" w:rsidR="00A04E75" w:rsidRDefault="00A04E75" w:rsidP="006D2539">
            <w:pPr>
              <w:pStyle w:val="ListParagraph"/>
              <w:numPr>
                <w:ilvl w:val="0"/>
                <w:numId w:val="3"/>
              </w:numPr>
            </w:pPr>
            <w:r>
              <w:t>Written notices of violations issued (include list of subject users)</w:t>
            </w:r>
          </w:p>
        </w:tc>
        <w:tc>
          <w:tcPr>
            <w:tcW w:w="1337" w:type="dxa"/>
            <w:gridSpan w:val="2"/>
            <w:tcBorders>
              <w:top w:val="single" w:sz="4" w:space="0" w:color="auto"/>
              <w:left w:val="single" w:sz="4" w:space="0" w:color="auto"/>
              <w:bottom w:val="single" w:sz="4" w:space="0" w:color="auto"/>
              <w:right w:val="single" w:sz="4" w:space="0" w:color="auto"/>
            </w:tcBorders>
          </w:tcPr>
          <w:p w14:paraId="6C9E737A" w14:textId="4A90CC9A"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15C108EF" w14:textId="720E5D0F" w:rsidR="007A7AC4" w:rsidRDefault="007A7AC4" w:rsidP="00F619DC"/>
        </w:tc>
      </w:tr>
      <w:tr w:rsidR="00A04E75" w14:paraId="7F0B93A8"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3DA82494" w14:textId="77777777" w:rsidR="00A04E75" w:rsidRPr="00515286" w:rsidRDefault="00A04E75" w:rsidP="00515286">
            <w:pPr>
              <w:pStyle w:val="ListParagraph"/>
              <w:numPr>
                <w:ilvl w:val="0"/>
                <w:numId w:val="3"/>
              </w:numPr>
            </w:pPr>
            <w:r w:rsidRPr="00515286">
              <w:t>Administrative orders issued (include list of subject users)</w:t>
            </w:r>
          </w:p>
        </w:tc>
        <w:tc>
          <w:tcPr>
            <w:tcW w:w="1337" w:type="dxa"/>
            <w:gridSpan w:val="2"/>
            <w:tcBorders>
              <w:top w:val="single" w:sz="4" w:space="0" w:color="auto"/>
              <w:left w:val="single" w:sz="4" w:space="0" w:color="auto"/>
              <w:bottom w:val="single" w:sz="4" w:space="0" w:color="auto"/>
              <w:right w:val="single" w:sz="4" w:space="0" w:color="auto"/>
            </w:tcBorders>
          </w:tcPr>
          <w:p w14:paraId="76901143" w14:textId="3F0236C3"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FF32CD5" w14:textId="2C150CED" w:rsidR="00A04E75" w:rsidRDefault="00A04E75" w:rsidP="006D2539"/>
        </w:tc>
      </w:tr>
      <w:tr w:rsidR="00A04E75" w14:paraId="353AC8B8"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7A2CA1A4" w14:textId="77777777" w:rsidR="00A04E75" w:rsidRDefault="00A04E75" w:rsidP="006D2539">
            <w:pPr>
              <w:pStyle w:val="ListParagraph"/>
              <w:numPr>
                <w:ilvl w:val="0"/>
                <w:numId w:val="3"/>
              </w:numPr>
            </w:pPr>
            <w:r>
              <w:lastRenderedPageBreak/>
              <w:t>Criminal or civil suits filed (include list of subject users)</w:t>
            </w:r>
          </w:p>
        </w:tc>
        <w:tc>
          <w:tcPr>
            <w:tcW w:w="1337" w:type="dxa"/>
            <w:gridSpan w:val="2"/>
            <w:tcBorders>
              <w:top w:val="single" w:sz="4" w:space="0" w:color="auto"/>
              <w:left w:val="single" w:sz="4" w:space="0" w:color="auto"/>
              <w:bottom w:val="single" w:sz="4" w:space="0" w:color="auto"/>
              <w:right w:val="single" w:sz="4" w:space="0" w:color="auto"/>
            </w:tcBorders>
          </w:tcPr>
          <w:p w14:paraId="1D421C79" w14:textId="3E9D98F8"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C4B063B" w14:textId="0B4A595D" w:rsidR="00A04E75" w:rsidRDefault="00A04E75" w:rsidP="006D2539"/>
        </w:tc>
      </w:tr>
      <w:tr w:rsidR="00A04E75" w14:paraId="15DC86C8"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2B331908" w14:textId="77777777" w:rsidR="00A04E75" w:rsidRDefault="00A04E75" w:rsidP="006D2539">
            <w:pPr>
              <w:pStyle w:val="ListParagraph"/>
              <w:numPr>
                <w:ilvl w:val="0"/>
                <w:numId w:val="3"/>
              </w:numPr>
            </w:pPr>
            <w:r>
              <w:t>Penalties obtained (include list of subject users and penalty amounts)</w:t>
            </w:r>
          </w:p>
        </w:tc>
        <w:tc>
          <w:tcPr>
            <w:tcW w:w="1337" w:type="dxa"/>
            <w:gridSpan w:val="2"/>
            <w:tcBorders>
              <w:top w:val="single" w:sz="4" w:space="0" w:color="auto"/>
              <w:left w:val="single" w:sz="4" w:space="0" w:color="auto"/>
              <w:bottom w:val="single" w:sz="4" w:space="0" w:color="auto"/>
              <w:right w:val="single" w:sz="4" w:space="0" w:color="auto"/>
            </w:tcBorders>
          </w:tcPr>
          <w:p w14:paraId="625407BE" w14:textId="52FBBA6B"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CB9FAEF" w14:textId="06768148" w:rsidR="00A04E75" w:rsidRDefault="00A04E75" w:rsidP="006D2539"/>
        </w:tc>
      </w:tr>
      <w:tr w:rsidR="00A04E75" w14:paraId="08900E4E"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482B65F8" w14:textId="77777777" w:rsidR="00A04E75" w:rsidRDefault="00A04E75" w:rsidP="006D2539">
            <w:pPr>
              <w:pStyle w:val="ListParagraph"/>
              <w:numPr>
                <w:ilvl w:val="0"/>
                <w:numId w:val="1"/>
              </w:numPr>
            </w:pPr>
            <w:r>
              <w:t>A narrative description of program effectiveness including present and proposed changes to the program, such as funding, staffing, ordinances, regulations, rules and/or statutory authority</w:t>
            </w:r>
          </w:p>
        </w:tc>
        <w:tc>
          <w:tcPr>
            <w:tcW w:w="1337" w:type="dxa"/>
            <w:gridSpan w:val="2"/>
            <w:tcBorders>
              <w:top w:val="single" w:sz="4" w:space="0" w:color="auto"/>
              <w:left w:val="single" w:sz="4" w:space="0" w:color="auto"/>
              <w:bottom w:val="single" w:sz="4" w:space="0" w:color="auto"/>
              <w:right w:val="single" w:sz="4" w:space="0" w:color="auto"/>
            </w:tcBorders>
          </w:tcPr>
          <w:p w14:paraId="43F3C797" w14:textId="1E2B8413"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7A3CC64A" w14:textId="3E52ECB9" w:rsidR="00A04E75" w:rsidRDefault="00A04E75" w:rsidP="006D2539"/>
        </w:tc>
      </w:tr>
      <w:tr w:rsidR="00A04E75" w14:paraId="03946A74"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19817EE9" w14:textId="77777777" w:rsidR="00A04E75" w:rsidRDefault="00A04E75" w:rsidP="006D2539">
            <w:pPr>
              <w:pStyle w:val="ListParagraph"/>
              <w:numPr>
                <w:ilvl w:val="0"/>
                <w:numId w:val="1"/>
              </w:numPr>
            </w:pPr>
            <w:r>
              <w:t>The Permittee shall prepare annually a list of industrial users, which during the preceding twelve (12) months have significantly violated Pretreatment Standards or requirements 40 C.F.R. 403.8(f)(2)(vii).  This list is to be published annually in a newspaper of general circulation in the Permittee’s service area</w:t>
            </w:r>
          </w:p>
        </w:tc>
        <w:tc>
          <w:tcPr>
            <w:tcW w:w="1337" w:type="dxa"/>
            <w:gridSpan w:val="2"/>
            <w:tcBorders>
              <w:top w:val="single" w:sz="4" w:space="0" w:color="auto"/>
              <w:left w:val="single" w:sz="4" w:space="0" w:color="auto"/>
              <w:bottom w:val="single" w:sz="4" w:space="0" w:color="auto"/>
              <w:right w:val="single" w:sz="4" w:space="0" w:color="auto"/>
            </w:tcBorders>
          </w:tcPr>
          <w:p w14:paraId="17EE6971" w14:textId="38E43D51"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304FE1C1" w14:textId="0E5047EE" w:rsidR="00A04E75" w:rsidRDefault="00A04E75" w:rsidP="006D2539"/>
        </w:tc>
      </w:tr>
      <w:tr w:rsidR="00A04E75" w14:paraId="0E5609FC"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6FC4A699" w14:textId="77777777" w:rsidR="00A04E75" w:rsidRDefault="00A04E75" w:rsidP="006D2539">
            <w:pPr>
              <w:pStyle w:val="ListParagraph"/>
              <w:numPr>
                <w:ilvl w:val="0"/>
                <w:numId w:val="1"/>
              </w:numPr>
            </w:pPr>
            <w:r>
              <w:t>A summary of all monitoring activities performed within the previous twelve (12) months.  The following information shall be reported: Total number of SIUs inspected and Total number of SIU sampled</w:t>
            </w:r>
          </w:p>
        </w:tc>
        <w:tc>
          <w:tcPr>
            <w:tcW w:w="1337" w:type="dxa"/>
            <w:gridSpan w:val="2"/>
            <w:tcBorders>
              <w:top w:val="single" w:sz="4" w:space="0" w:color="auto"/>
              <w:left w:val="single" w:sz="4" w:space="0" w:color="auto"/>
              <w:bottom w:val="single" w:sz="4" w:space="0" w:color="auto"/>
              <w:right w:val="single" w:sz="4" w:space="0" w:color="auto"/>
            </w:tcBorders>
          </w:tcPr>
          <w:p w14:paraId="66384034" w14:textId="27112DAF"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1703F837" w14:textId="59126392" w:rsidR="00A04E75" w:rsidRDefault="00A04E75" w:rsidP="006D2539"/>
        </w:tc>
      </w:tr>
      <w:tr w:rsidR="00A04E75" w14:paraId="6F495689"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15C9BE46" w14:textId="77777777" w:rsidR="00A04E75" w:rsidRDefault="00A04E75" w:rsidP="006D2539">
            <w:pPr>
              <w:pStyle w:val="ListParagraph"/>
              <w:numPr>
                <w:ilvl w:val="0"/>
                <w:numId w:val="4"/>
              </w:numPr>
            </w:pPr>
            <w:r>
              <w:t>For all industrial users that were in Significant Non-Compliance during the previous twelve (12) months, provide the name of the violating industrial users; indicate the nature of the violations, the type and number of actions taken (administrative order, criminal or civil suit, fines or penalties collected, etc.) and current compliance status.  Indicated if the company returned to compliance and the date compliance was attained.  Determination of Significant Non-Compliance shall be performed.</w:t>
            </w:r>
          </w:p>
        </w:tc>
        <w:tc>
          <w:tcPr>
            <w:tcW w:w="1337" w:type="dxa"/>
            <w:gridSpan w:val="2"/>
            <w:tcBorders>
              <w:top w:val="single" w:sz="4" w:space="0" w:color="auto"/>
              <w:left w:val="single" w:sz="4" w:space="0" w:color="auto"/>
              <w:bottom w:val="single" w:sz="4" w:space="0" w:color="auto"/>
              <w:right w:val="single" w:sz="4" w:space="0" w:color="auto"/>
            </w:tcBorders>
          </w:tcPr>
          <w:p w14:paraId="77953FF8" w14:textId="29BD84ED" w:rsidR="00A04E75" w:rsidRDefault="00A04E75" w:rsidP="006D2539">
            <w:pPr>
              <w:jc w:val="center"/>
            </w:pPr>
          </w:p>
          <w:p w14:paraId="33C4044E" w14:textId="77777777" w:rsidR="00A04E75" w:rsidRPr="004F5ABD"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1E5FDE1" w14:textId="6B8BB9C4" w:rsidR="00A04E75" w:rsidRDefault="00A04E75" w:rsidP="006D2539"/>
        </w:tc>
      </w:tr>
      <w:tr w:rsidR="00A04E75" w14:paraId="52622158"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6B89AFA5" w14:textId="77777777" w:rsidR="00A04E75" w:rsidRPr="00A7522E" w:rsidRDefault="00A04E75" w:rsidP="006D2539">
            <w:pPr>
              <w:pStyle w:val="ListParagraph"/>
              <w:numPr>
                <w:ilvl w:val="0"/>
                <w:numId w:val="1"/>
              </w:numPr>
            </w:pPr>
            <w:r w:rsidRPr="00A7522E">
              <w:t>A summary of all enforcement actions not covered by the paragraph above conducted in accordance with the approved Enforcement Response Plan.</w:t>
            </w:r>
          </w:p>
        </w:tc>
        <w:tc>
          <w:tcPr>
            <w:tcW w:w="1337" w:type="dxa"/>
            <w:gridSpan w:val="2"/>
            <w:tcBorders>
              <w:top w:val="single" w:sz="4" w:space="0" w:color="auto"/>
              <w:left w:val="single" w:sz="4" w:space="0" w:color="auto"/>
              <w:bottom w:val="single" w:sz="4" w:space="0" w:color="auto"/>
              <w:right w:val="single" w:sz="4" w:space="0" w:color="auto"/>
            </w:tcBorders>
          </w:tcPr>
          <w:p w14:paraId="1C2430AC" w14:textId="66A141C0"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336C0755" w14:textId="536451CB" w:rsidR="00A04E75" w:rsidRDefault="00A04E75" w:rsidP="006D2539"/>
        </w:tc>
      </w:tr>
      <w:tr w:rsidR="00A04E75" w14:paraId="0FDEA913"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19A6022A" w14:textId="77777777" w:rsidR="00A04E75" w:rsidRPr="00275F25" w:rsidRDefault="00A04E75" w:rsidP="006D2539">
            <w:pPr>
              <w:pStyle w:val="ListParagraph"/>
              <w:numPr>
                <w:ilvl w:val="0"/>
                <w:numId w:val="1"/>
              </w:numPr>
            </w:pPr>
            <w:r w:rsidRPr="00275F25">
              <w:t>A description of actions being taken to reduce the incidence of significant violations by significant industrial users.</w:t>
            </w:r>
          </w:p>
        </w:tc>
        <w:tc>
          <w:tcPr>
            <w:tcW w:w="1337" w:type="dxa"/>
            <w:gridSpan w:val="2"/>
            <w:tcBorders>
              <w:top w:val="single" w:sz="4" w:space="0" w:color="auto"/>
              <w:left w:val="single" w:sz="4" w:space="0" w:color="auto"/>
              <w:bottom w:val="single" w:sz="4" w:space="0" w:color="auto"/>
              <w:right w:val="single" w:sz="4" w:space="0" w:color="auto"/>
            </w:tcBorders>
          </w:tcPr>
          <w:p w14:paraId="10ADCCE4" w14:textId="4AA2B9EE"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769A132D" w14:textId="4C750723" w:rsidR="009225D6" w:rsidRDefault="009225D6" w:rsidP="00F619DC">
            <w:pPr>
              <w:pStyle w:val="ListParagraph"/>
            </w:pPr>
          </w:p>
        </w:tc>
      </w:tr>
      <w:tr w:rsidR="00A04E75" w14:paraId="17FB1C4E"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6C08FDF7" w14:textId="77777777" w:rsidR="00A04E75" w:rsidRPr="00275F25" w:rsidRDefault="00A04E75" w:rsidP="006D2539">
            <w:pPr>
              <w:pStyle w:val="ListParagraph"/>
              <w:numPr>
                <w:ilvl w:val="0"/>
                <w:numId w:val="1"/>
              </w:numPr>
            </w:pPr>
            <w:r w:rsidRPr="00275F25">
              <w:t>A detailed description of all interference and pass-through that occurred during the past year.</w:t>
            </w:r>
          </w:p>
        </w:tc>
        <w:tc>
          <w:tcPr>
            <w:tcW w:w="1337" w:type="dxa"/>
            <w:gridSpan w:val="2"/>
            <w:tcBorders>
              <w:top w:val="single" w:sz="4" w:space="0" w:color="auto"/>
              <w:left w:val="single" w:sz="4" w:space="0" w:color="auto"/>
              <w:bottom w:val="single" w:sz="4" w:space="0" w:color="auto"/>
              <w:right w:val="single" w:sz="4" w:space="0" w:color="auto"/>
            </w:tcBorders>
          </w:tcPr>
          <w:p w14:paraId="3003D22F" w14:textId="5FC3A97D"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1DA32CD1" w14:textId="63B89C66" w:rsidR="00A7522E" w:rsidRDefault="00A7522E" w:rsidP="006D2539"/>
        </w:tc>
      </w:tr>
      <w:tr w:rsidR="00A04E75" w14:paraId="05BEEA43"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17798FAA" w14:textId="77777777" w:rsidR="00A04E75" w:rsidRDefault="00A04E75" w:rsidP="006D2539">
            <w:pPr>
              <w:pStyle w:val="ListParagraph"/>
              <w:numPr>
                <w:ilvl w:val="0"/>
                <w:numId w:val="1"/>
              </w:numPr>
            </w:pPr>
            <w:r>
              <w:t>A thorough description of all investigations into interference and pass-through during the past year.</w:t>
            </w:r>
          </w:p>
        </w:tc>
        <w:tc>
          <w:tcPr>
            <w:tcW w:w="1337" w:type="dxa"/>
            <w:gridSpan w:val="2"/>
            <w:tcBorders>
              <w:top w:val="single" w:sz="4" w:space="0" w:color="auto"/>
              <w:left w:val="single" w:sz="4" w:space="0" w:color="auto"/>
              <w:bottom w:val="single" w:sz="4" w:space="0" w:color="auto"/>
              <w:right w:val="single" w:sz="4" w:space="0" w:color="auto"/>
            </w:tcBorders>
          </w:tcPr>
          <w:p w14:paraId="2D89307F" w14:textId="3C54E779"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3163369" w14:textId="2040CE72" w:rsidR="00A04E75" w:rsidRDefault="009225D6" w:rsidP="006D2539">
            <w:r>
              <w:br/>
            </w:r>
          </w:p>
        </w:tc>
      </w:tr>
      <w:tr w:rsidR="00A04E75" w14:paraId="1CD2FED5"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082DB8C7" w14:textId="77777777" w:rsidR="00A04E75" w:rsidRDefault="00A04E75" w:rsidP="006D2539">
            <w:pPr>
              <w:pStyle w:val="ListParagraph"/>
              <w:numPr>
                <w:ilvl w:val="0"/>
                <w:numId w:val="1"/>
              </w:numPr>
            </w:pPr>
            <w:r>
              <w:t>A description of monitoring, sewer inspections and evaluations which were done during the past year to detect interference and pass-through, specifying parameters and frequencies</w:t>
            </w:r>
          </w:p>
        </w:tc>
        <w:tc>
          <w:tcPr>
            <w:tcW w:w="1337" w:type="dxa"/>
            <w:gridSpan w:val="2"/>
            <w:tcBorders>
              <w:top w:val="single" w:sz="4" w:space="0" w:color="auto"/>
              <w:left w:val="single" w:sz="4" w:space="0" w:color="auto"/>
              <w:bottom w:val="single" w:sz="4" w:space="0" w:color="auto"/>
              <w:right w:val="single" w:sz="4" w:space="0" w:color="auto"/>
            </w:tcBorders>
          </w:tcPr>
          <w:p w14:paraId="5D1669BF" w14:textId="713CBBCF"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3FE3AF90" w14:textId="4D958822" w:rsidR="00A04E75" w:rsidRDefault="009225D6" w:rsidP="006D2539">
            <w:r>
              <w:br/>
              <w:t xml:space="preserve"> </w:t>
            </w:r>
          </w:p>
        </w:tc>
      </w:tr>
      <w:tr w:rsidR="00A04E75" w14:paraId="34AC8D31"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6586EAD9" w14:textId="77777777" w:rsidR="00A04E75" w:rsidRDefault="00A04E75" w:rsidP="006D2539">
            <w:pPr>
              <w:pStyle w:val="ListParagraph"/>
              <w:numPr>
                <w:ilvl w:val="0"/>
                <w:numId w:val="1"/>
              </w:numPr>
            </w:pPr>
            <w:r>
              <w:t xml:space="preserve">The Permittee shall analyze the treatment facility influent and effluent at least Annually for the presence of the toxic pollutants listed in 40 CFR Part </w:t>
            </w:r>
            <w:r>
              <w:lastRenderedPageBreak/>
              <w:t>122 Appendix D (NPDES Application Testing Requirements) Table III as follows:</w:t>
            </w:r>
          </w:p>
          <w:p w14:paraId="03EC6CE3" w14:textId="77777777" w:rsidR="00A04E75" w:rsidRDefault="00A04E75" w:rsidP="006D2539">
            <w:pPr>
              <w:pStyle w:val="ListParagraph"/>
              <w:numPr>
                <w:ilvl w:val="0"/>
                <w:numId w:val="5"/>
              </w:numPr>
            </w:pPr>
            <w:r>
              <w:t>Antimony</w:t>
            </w:r>
          </w:p>
          <w:p w14:paraId="201A0314" w14:textId="77777777" w:rsidR="00A04E75" w:rsidRDefault="00A04E75" w:rsidP="006D2539">
            <w:pPr>
              <w:pStyle w:val="ListParagraph"/>
              <w:numPr>
                <w:ilvl w:val="0"/>
                <w:numId w:val="5"/>
              </w:numPr>
            </w:pPr>
            <w:r>
              <w:t>Arsenic</w:t>
            </w:r>
          </w:p>
          <w:p w14:paraId="20F4DC1A" w14:textId="77777777" w:rsidR="00A04E75" w:rsidRDefault="00A04E75" w:rsidP="006D2539">
            <w:pPr>
              <w:pStyle w:val="ListParagraph"/>
              <w:numPr>
                <w:ilvl w:val="0"/>
                <w:numId w:val="5"/>
              </w:numPr>
            </w:pPr>
            <w:r>
              <w:t>Beryllium</w:t>
            </w:r>
          </w:p>
          <w:p w14:paraId="6CAC9002" w14:textId="77777777" w:rsidR="00A04E75" w:rsidRDefault="00A04E75" w:rsidP="006D2539">
            <w:pPr>
              <w:pStyle w:val="ListParagraph"/>
              <w:numPr>
                <w:ilvl w:val="0"/>
                <w:numId w:val="5"/>
              </w:numPr>
            </w:pPr>
            <w:r>
              <w:t>Cadmium</w:t>
            </w:r>
          </w:p>
          <w:p w14:paraId="331D9044" w14:textId="77777777" w:rsidR="00A04E75" w:rsidRDefault="00A04E75" w:rsidP="006D2539">
            <w:pPr>
              <w:pStyle w:val="ListParagraph"/>
              <w:numPr>
                <w:ilvl w:val="0"/>
                <w:numId w:val="5"/>
              </w:numPr>
            </w:pPr>
            <w:r>
              <w:t>Chromium</w:t>
            </w:r>
          </w:p>
          <w:p w14:paraId="10345E24" w14:textId="77777777" w:rsidR="00A04E75" w:rsidRDefault="00A04E75" w:rsidP="006D2539">
            <w:pPr>
              <w:pStyle w:val="ListParagraph"/>
              <w:numPr>
                <w:ilvl w:val="0"/>
                <w:numId w:val="5"/>
              </w:numPr>
            </w:pPr>
            <w:r>
              <w:t>Cooper</w:t>
            </w:r>
          </w:p>
          <w:p w14:paraId="440C51F6" w14:textId="77777777" w:rsidR="00A04E75" w:rsidRDefault="00A04E75" w:rsidP="006D2539">
            <w:pPr>
              <w:pStyle w:val="ListParagraph"/>
              <w:numPr>
                <w:ilvl w:val="0"/>
                <w:numId w:val="5"/>
              </w:numPr>
            </w:pPr>
            <w:r>
              <w:t>Lead</w:t>
            </w:r>
          </w:p>
          <w:p w14:paraId="27B11DC4" w14:textId="77777777" w:rsidR="00A04E75" w:rsidRDefault="00A04E75" w:rsidP="006D2539">
            <w:pPr>
              <w:pStyle w:val="ListParagraph"/>
              <w:numPr>
                <w:ilvl w:val="0"/>
                <w:numId w:val="5"/>
              </w:numPr>
            </w:pPr>
            <w:r>
              <w:t>Mercury</w:t>
            </w:r>
          </w:p>
          <w:p w14:paraId="50CFA20C" w14:textId="77777777" w:rsidR="00A04E75" w:rsidRDefault="00A04E75" w:rsidP="006D2539">
            <w:pPr>
              <w:pStyle w:val="ListParagraph"/>
              <w:numPr>
                <w:ilvl w:val="0"/>
                <w:numId w:val="5"/>
              </w:numPr>
            </w:pPr>
            <w:r>
              <w:t>Nickel</w:t>
            </w:r>
          </w:p>
          <w:p w14:paraId="488888E4" w14:textId="77777777" w:rsidR="00A04E75" w:rsidRDefault="00A04E75" w:rsidP="006D2539">
            <w:pPr>
              <w:pStyle w:val="ListParagraph"/>
              <w:numPr>
                <w:ilvl w:val="0"/>
                <w:numId w:val="5"/>
              </w:numPr>
            </w:pPr>
            <w:r>
              <w:t>Selenium</w:t>
            </w:r>
          </w:p>
          <w:p w14:paraId="38F86733" w14:textId="77777777" w:rsidR="00A04E75" w:rsidRDefault="00A04E75" w:rsidP="006D2539">
            <w:pPr>
              <w:pStyle w:val="ListParagraph"/>
              <w:numPr>
                <w:ilvl w:val="0"/>
                <w:numId w:val="5"/>
              </w:numPr>
            </w:pPr>
            <w:r>
              <w:t>Silver</w:t>
            </w:r>
          </w:p>
          <w:p w14:paraId="2C9BD73C" w14:textId="77777777" w:rsidR="00A04E75" w:rsidRDefault="00A04E75" w:rsidP="006D2539">
            <w:pPr>
              <w:pStyle w:val="ListParagraph"/>
              <w:numPr>
                <w:ilvl w:val="0"/>
                <w:numId w:val="5"/>
              </w:numPr>
            </w:pPr>
            <w:r>
              <w:t>Thallium</w:t>
            </w:r>
          </w:p>
          <w:p w14:paraId="719CEC1D" w14:textId="77777777" w:rsidR="00A04E75" w:rsidRDefault="00A04E75" w:rsidP="006D2539">
            <w:pPr>
              <w:pStyle w:val="ListParagraph"/>
              <w:numPr>
                <w:ilvl w:val="0"/>
                <w:numId w:val="5"/>
              </w:numPr>
            </w:pPr>
            <w:r>
              <w:t>Zinc</w:t>
            </w:r>
          </w:p>
          <w:p w14:paraId="2C1B1424" w14:textId="77777777" w:rsidR="00A04E75" w:rsidRDefault="00A04E75" w:rsidP="006D2539">
            <w:pPr>
              <w:pStyle w:val="ListParagraph"/>
              <w:numPr>
                <w:ilvl w:val="0"/>
                <w:numId w:val="5"/>
              </w:numPr>
            </w:pPr>
            <w:r>
              <w:t>Cyanide</w:t>
            </w:r>
          </w:p>
          <w:p w14:paraId="25E06972" w14:textId="77777777" w:rsidR="00A04E75" w:rsidRDefault="00A04E75" w:rsidP="006D2539">
            <w:pPr>
              <w:pStyle w:val="ListParagraph"/>
              <w:numPr>
                <w:ilvl w:val="0"/>
                <w:numId w:val="5"/>
              </w:numPr>
            </w:pPr>
            <w:r>
              <w:t>Phenols</w:t>
            </w:r>
          </w:p>
        </w:tc>
        <w:tc>
          <w:tcPr>
            <w:tcW w:w="1337" w:type="dxa"/>
            <w:gridSpan w:val="2"/>
            <w:tcBorders>
              <w:top w:val="single" w:sz="4" w:space="0" w:color="auto"/>
              <w:left w:val="single" w:sz="4" w:space="0" w:color="auto"/>
              <w:bottom w:val="single" w:sz="4" w:space="0" w:color="auto"/>
              <w:right w:val="single" w:sz="4" w:space="0" w:color="auto"/>
            </w:tcBorders>
          </w:tcPr>
          <w:p w14:paraId="2D39EF04" w14:textId="77777777" w:rsidR="00A04E75" w:rsidRDefault="00A04E75" w:rsidP="006D2539"/>
          <w:p w14:paraId="22933390" w14:textId="7C944E6C"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2A375C1" w14:textId="13E9326D" w:rsidR="00275F25" w:rsidRDefault="00275F25" w:rsidP="006D2539"/>
          <w:p w14:paraId="33CA583E" w14:textId="0617D7D1" w:rsidR="00275F25" w:rsidRDefault="00275F25" w:rsidP="006D2539"/>
          <w:p w14:paraId="7329E1CB" w14:textId="35DC195C" w:rsidR="00A04E75" w:rsidRDefault="00A04E75" w:rsidP="00275F25"/>
          <w:p w14:paraId="28C81EE9" w14:textId="77777777" w:rsidR="00A04E75" w:rsidRDefault="00A04E75" w:rsidP="006D2539"/>
          <w:p w14:paraId="2056955B" w14:textId="77777777" w:rsidR="00A04E75" w:rsidRDefault="00A04E75" w:rsidP="006D2539"/>
        </w:tc>
      </w:tr>
      <w:tr w:rsidR="00A04E75" w14:paraId="0E6D2630"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5AB14F11" w14:textId="77777777" w:rsidR="00A04E75" w:rsidRDefault="00A04E75" w:rsidP="006D2539">
            <w:pPr>
              <w:pStyle w:val="ListParagraph"/>
              <w:numPr>
                <w:ilvl w:val="0"/>
                <w:numId w:val="6"/>
              </w:numPr>
            </w:pPr>
            <w:r w:rsidRPr="007D2B8E">
              <w:lastRenderedPageBreak/>
              <w:t>The sampling program shall consist of one 24-hour flow-proportioned composite and at least one grab sample that is representative of the flows received by the POTW.  The composite shall consist of hourly flow-proportioned grab samples taken over a 24-hour period if the sample is collected manually or shall consist of a minimum of 48 samples collected at 30-minute intervals if an automated sampler is used.  Cyanide shall be taken as a grab sample during the same period as the composite sample.  Sampling and preservation shall be consistent with 40 CFR Part 136.  All analytical procedures and method detection limits must be specified when reporting the results of such analyses.</w:t>
            </w:r>
            <w:r>
              <w:t xml:space="preserve">  </w:t>
            </w:r>
          </w:p>
        </w:tc>
        <w:tc>
          <w:tcPr>
            <w:tcW w:w="1337" w:type="dxa"/>
            <w:gridSpan w:val="2"/>
            <w:tcBorders>
              <w:top w:val="single" w:sz="4" w:space="0" w:color="auto"/>
              <w:left w:val="single" w:sz="4" w:space="0" w:color="auto"/>
              <w:bottom w:val="single" w:sz="4" w:space="0" w:color="auto"/>
              <w:right w:val="single" w:sz="4" w:space="0" w:color="auto"/>
            </w:tcBorders>
          </w:tcPr>
          <w:p w14:paraId="5F3316D7" w14:textId="180F8FBF"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60023E0" w14:textId="4D92E95E" w:rsidR="00A04E75" w:rsidRDefault="00A04E75" w:rsidP="006D2539"/>
        </w:tc>
      </w:tr>
      <w:tr w:rsidR="00A04E75" w14:paraId="39DDF528"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0C5EC2CD" w14:textId="77777777" w:rsidR="00A04E75" w:rsidRPr="001406AB" w:rsidRDefault="00A04E75" w:rsidP="006D2539">
            <w:pPr>
              <w:pStyle w:val="ListParagraph"/>
              <w:numPr>
                <w:ilvl w:val="0"/>
                <w:numId w:val="1"/>
              </w:numPr>
            </w:pPr>
            <w:r w:rsidRPr="001406AB">
              <w:t>The Permittee shall analyze the treatment facility sludge (biosolids) prior to disposal, for the presence of toxic pollutants listed above in 40 CFR Part 122 Appendix D (NPDES Application Testing Requirements) Table III at least once per year.  If the Permittee does not dispose of biosolids during the calendar year, the Permittee shall certify to that in the Pretreatment Annual Report the monitoring requirements in this paragraph shall be suspended for that calendar year</w:t>
            </w:r>
          </w:p>
        </w:tc>
        <w:tc>
          <w:tcPr>
            <w:tcW w:w="1337" w:type="dxa"/>
            <w:gridSpan w:val="2"/>
            <w:tcBorders>
              <w:top w:val="single" w:sz="4" w:space="0" w:color="auto"/>
              <w:left w:val="single" w:sz="4" w:space="0" w:color="auto"/>
              <w:bottom w:val="single" w:sz="4" w:space="0" w:color="auto"/>
              <w:right w:val="single" w:sz="4" w:space="0" w:color="auto"/>
            </w:tcBorders>
          </w:tcPr>
          <w:p w14:paraId="2A63F144" w14:textId="280A48A3" w:rsidR="00A04E75" w:rsidRPr="008B1ABC"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572B796B" w14:textId="5BBF1B9B" w:rsidR="00A04E75" w:rsidRDefault="00A04E75" w:rsidP="006D2539"/>
        </w:tc>
      </w:tr>
      <w:tr w:rsidR="00A04E75" w14:paraId="2EE6444D"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1312DFF8" w14:textId="77777777" w:rsidR="00A04E75" w:rsidRPr="001406AB" w:rsidRDefault="00A04E75" w:rsidP="006D2539">
            <w:pPr>
              <w:pStyle w:val="ListParagraph"/>
              <w:numPr>
                <w:ilvl w:val="0"/>
                <w:numId w:val="7"/>
              </w:numPr>
            </w:pPr>
            <w:r w:rsidRPr="001406AB">
              <w:lastRenderedPageBreak/>
              <w:t>The Permittee shall use sample collection and analysis procedures as approved for use under 40 CFR Part 503 or specified in the EPA Region 8 General Permit for biosolids</w:t>
            </w:r>
          </w:p>
        </w:tc>
        <w:tc>
          <w:tcPr>
            <w:tcW w:w="1337" w:type="dxa"/>
            <w:gridSpan w:val="2"/>
            <w:tcBorders>
              <w:top w:val="single" w:sz="4" w:space="0" w:color="auto"/>
              <w:left w:val="single" w:sz="4" w:space="0" w:color="auto"/>
              <w:bottom w:val="single" w:sz="4" w:space="0" w:color="auto"/>
              <w:right w:val="single" w:sz="4" w:space="0" w:color="auto"/>
            </w:tcBorders>
          </w:tcPr>
          <w:p w14:paraId="5626D7CD" w14:textId="3C89DE59"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2B31C1D8" w14:textId="2D915C2C" w:rsidR="00A04E75" w:rsidRDefault="00A04E75" w:rsidP="006D2539"/>
        </w:tc>
      </w:tr>
      <w:tr w:rsidR="00A04E75" w14:paraId="6F73C46E"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52D706BA" w14:textId="77777777" w:rsidR="00A04E75" w:rsidRDefault="00A04E75" w:rsidP="006D2539">
            <w:pPr>
              <w:pStyle w:val="ListParagraph"/>
              <w:numPr>
                <w:ilvl w:val="0"/>
                <w:numId w:val="1"/>
              </w:numPr>
            </w:pPr>
            <w:r>
              <w:t>The summary shall include an evaluation of influent sampling results versus threshold inhibitory concentrations for the Wastewater Treatment System and effluent sampling results versus water quality standards.  Such a comparison shall be based on the sampling program described in the paragraphs above or any similar sampling program described in this Permit.</w:t>
            </w:r>
          </w:p>
        </w:tc>
        <w:tc>
          <w:tcPr>
            <w:tcW w:w="1337" w:type="dxa"/>
            <w:gridSpan w:val="2"/>
            <w:tcBorders>
              <w:top w:val="single" w:sz="4" w:space="0" w:color="auto"/>
              <w:left w:val="single" w:sz="4" w:space="0" w:color="auto"/>
              <w:bottom w:val="single" w:sz="4" w:space="0" w:color="auto"/>
              <w:right w:val="single" w:sz="4" w:space="0" w:color="auto"/>
            </w:tcBorders>
          </w:tcPr>
          <w:p w14:paraId="1E29F5B9" w14:textId="1023D86C"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AC4801D" w14:textId="4A3263C7" w:rsidR="00A04E75" w:rsidRDefault="00A04E75" w:rsidP="006D2539"/>
        </w:tc>
      </w:tr>
      <w:tr w:rsidR="00A04E75" w14:paraId="523EB8E4"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47439F61" w14:textId="77777777" w:rsidR="00A04E75" w:rsidRDefault="00A04E75" w:rsidP="006D2539">
            <w:pPr>
              <w:pStyle w:val="ListParagraph"/>
              <w:numPr>
                <w:ilvl w:val="0"/>
                <w:numId w:val="1"/>
              </w:numPr>
            </w:pPr>
            <w:r>
              <w:t>Identification of the specific locations, if any, designated by the Permittee for receipt (discharge) or trucked or hauled waste, if modified.</w:t>
            </w:r>
          </w:p>
        </w:tc>
        <w:tc>
          <w:tcPr>
            <w:tcW w:w="1337" w:type="dxa"/>
            <w:gridSpan w:val="2"/>
            <w:tcBorders>
              <w:top w:val="single" w:sz="4" w:space="0" w:color="auto"/>
              <w:left w:val="single" w:sz="4" w:space="0" w:color="auto"/>
              <w:bottom w:val="single" w:sz="4" w:space="0" w:color="auto"/>
              <w:right w:val="single" w:sz="4" w:space="0" w:color="auto"/>
            </w:tcBorders>
          </w:tcPr>
          <w:p w14:paraId="084629FA" w14:textId="0A2A9A25"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06C51837" w14:textId="1F68308B" w:rsidR="00A04E75" w:rsidRDefault="00A04E75" w:rsidP="006D2539"/>
        </w:tc>
      </w:tr>
      <w:tr w:rsidR="00A04E75" w14:paraId="4D7C552A"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4B47E489" w14:textId="77777777" w:rsidR="00A04E75" w:rsidRDefault="00A04E75" w:rsidP="006D2539">
            <w:pPr>
              <w:pStyle w:val="ListParagraph"/>
              <w:numPr>
                <w:ilvl w:val="0"/>
                <w:numId w:val="1"/>
              </w:numPr>
            </w:pPr>
            <w:r>
              <w:t>Identification of the specific locations, if any, designated by the Permittee for receipt (discharge) of trucked or hauled waste, if modified:</w:t>
            </w:r>
          </w:p>
          <w:p w14:paraId="20173037" w14:textId="77777777" w:rsidR="00A04E75" w:rsidRDefault="00A04E75" w:rsidP="00A04E75">
            <w:pPr>
              <w:pStyle w:val="ListParagraph"/>
              <w:numPr>
                <w:ilvl w:val="0"/>
                <w:numId w:val="8"/>
              </w:numPr>
            </w:pPr>
            <w:r>
              <w:t>Ground water clean-up from underground storage tanks;</w:t>
            </w:r>
          </w:p>
          <w:p w14:paraId="34A17CA8" w14:textId="77777777" w:rsidR="00A04E75" w:rsidRDefault="00A04E75" w:rsidP="00A04E75">
            <w:pPr>
              <w:pStyle w:val="ListParagraph"/>
              <w:numPr>
                <w:ilvl w:val="0"/>
                <w:numId w:val="8"/>
              </w:numPr>
            </w:pPr>
            <w:r>
              <w:t>Trucked or hauled waste; and</w:t>
            </w:r>
          </w:p>
          <w:p w14:paraId="3238083B" w14:textId="77777777" w:rsidR="00A04E75" w:rsidRDefault="00A04E75" w:rsidP="00A04E75">
            <w:pPr>
              <w:pStyle w:val="ListParagraph"/>
              <w:numPr>
                <w:ilvl w:val="0"/>
                <w:numId w:val="8"/>
              </w:numPr>
            </w:pPr>
            <w:r>
              <w:t>Groundwater clean-up from RCRA or Superfund sites</w:t>
            </w:r>
          </w:p>
        </w:tc>
        <w:tc>
          <w:tcPr>
            <w:tcW w:w="1337" w:type="dxa"/>
            <w:gridSpan w:val="2"/>
            <w:tcBorders>
              <w:top w:val="single" w:sz="4" w:space="0" w:color="auto"/>
              <w:left w:val="single" w:sz="4" w:space="0" w:color="auto"/>
              <w:bottom w:val="single" w:sz="4" w:space="0" w:color="auto"/>
              <w:right w:val="single" w:sz="4" w:space="0" w:color="auto"/>
            </w:tcBorders>
          </w:tcPr>
          <w:p w14:paraId="2AA0990D" w14:textId="59B562EE"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6E1C447D" w14:textId="7B1B19B0" w:rsidR="00A04E75" w:rsidRDefault="00A04E75" w:rsidP="006D2539"/>
        </w:tc>
      </w:tr>
      <w:tr w:rsidR="00A04E75" w14:paraId="50C34006"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35DBF983" w14:textId="77777777" w:rsidR="00A04E75" w:rsidRDefault="00A04E75" w:rsidP="006D2539">
            <w:pPr>
              <w:pStyle w:val="ListParagraph"/>
              <w:numPr>
                <w:ilvl w:val="0"/>
                <w:numId w:val="1"/>
              </w:numPr>
            </w:pPr>
            <w:r>
              <w:t>A description of all changes made during the previous calendar year to the Permittee’s pretreatment program that were not submitted as substantial or non-substantial modifications to EPA.</w:t>
            </w:r>
          </w:p>
        </w:tc>
        <w:tc>
          <w:tcPr>
            <w:tcW w:w="1337" w:type="dxa"/>
            <w:gridSpan w:val="2"/>
            <w:tcBorders>
              <w:top w:val="single" w:sz="4" w:space="0" w:color="auto"/>
              <w:left w:val="single" w:sz="4" w:space="0" w:color="auto"/>
              <w:bottom w:val="single" w:sz="4" w:space="0" w:color="auto"/>
              <w:right w:val="single" w:sz="4" w:space="0" w:color="auto"/>
            </w:tcBorders>
          </w:tcPr>
          <w:p w14:paraId="52FFD47B" w14:textId="1EA1372E"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3B874DDF" w14:textId="29CE96B6" w:rsidR="00A04E75" w:rsidRDefault="00A04E75" w:rsidP="006D2539"/>
        </w:tc>
      </w:tr>
      <w:tr w:rsidR="00A04E75" w14:paraId="761AA91D" w14:textId="77777777" w:rsidTr="006D2539">
        <w:trPr>
          <w:trHeight w:val="1007"/>
        </w:trPr>
        <w:tc>
          <w:tcPr>
            <w:tcW w:w="7915" w:type="dxa"/>
            <w:gridSpan w:val="4"/>
            <w:tcBorders>
              <w:top w:val="single" w:sz="4" w:space="0" w:color="auto"/>
              <w:left w:val="single" w:sz="4" w:space="0" w:color="auto"/>
              <w:bottom w:val="single" w:sz="4" w:space="0" w:color="auto"/>
              <w:right w:val="single" w:sz="4" w:space="0" w:color="auto"/>
            </w:tcBorders>
          </w:tcPr>
          <w:p w14:paraId="6D7C021D" w14:textId="77777777" w:rsidR="00A04E75" w:rsidRDefault="00A04E75" w:rsidP="006D2539">
            <w:pPr>
              <w:pStyle w:val="ListParagraph"/>
              <w:numPr>
                <w:ilvl w:val="0"/>
                <w:numId w:val="1"/>
              </w:numPr>
            </w:pPr>
            <w:r>
              <w:t xml:space="preserve">The date of the latest adoption of local limits and an indication as to </w:t>
            </w:r>
            <w:proofErr w:type="gramStart"/>
            <w:r>
              <w:t>whether or not</w:t>
            </w:r>
            <w:proofErr w:type="gramEnd"/>
            <w:r>
              <w:t xml:space="preserve"> the Town is under a State or Federal compliance schedule that includes steps to be taken to revise local limits.</w:t>
            </w:r>
          </w:p>
        </w:tc>
        <w:tc>
          <w:tcPr>
            <w:tcW w:w="1337" w:type="dxa"/>
            <w:gridSpan w:val="2"/>
            <w:tcBorders>
              <w:top w:val="single" w:sz="4" w:space="0" w:color="auto"/>
              <w:left w:val="single" w:sz="4" w:space="0" w:color="auto"/>
              <w:bottom w:val="single" w:sz="4" w:space="0" w:color="auto"/>
              <w:right w:val="single" w:sz="4" w:space="0" w:color="auto"/>
            </w:tcBorders>
          </w:tcPr>
          <w:p w14:paraId="496A0DDE" w14:textId="75788407" w:rsidR="00A04E75" w:rsidRDefault="00A04E75" w:rsidP="006D2539">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4493C66B" w14:textId="77777777" w:rsidR="001406AB" w:rsidRDefault="001406AB" w:rsidP="006D2539"/>
          <w:p w14:paraId="04A2D6E4" w14:textId="2B6DFE6D" w:rsidR="001406AB" w:rsidRDefault="001406AB" w:rsidP="006D2539"/>
        </w:tc>
      </w:tr>
      <w:tr w:rsidR="00F33351" w14:paraId="1D6A723D" w14:textId="77777777" w:rsidTr="006D2539">
        <w:tc>
          <w:tcPr>
            <w:tcW w:w="7915" w:type="dxa"/>
            <w:gridSpan w:val="4"/>
            <w:tcBorders>
              <w:top w:val="single" w:sz="4" w:space="0" w:color="auto"/>
              <w:left w:val="single" w:sz="4" w:space="0" w:color="auto"/>
              <w:bottom w:val="single" w:sz="4" w:space="0" w:color="auto"/>
              <w:right w:val="single" w:sz="4" w:space="0" w:color="auto"/>
            </w:tcBorders>
          </w:tcPr>
          <w:p w14:paraId="77D6B7E4" w14:textId="77777777" w:rsidR="00F33351" w:rsidRDefault="00F33351" w:rsidP="00F33351">
            <w:pPr>
              <w:pStyle w:val="ListParagraph"/>
              <w:numPr>
                <w:ilvl w:val="0"/>
                <w:numId w:val="1"/>
              </w:numPr>
            </w:pPr>
            <w:r>
              <w:t>Any other information that may be deemed necessary by the Approval Authority</w:t>
            </w:r>
          </w:p>
        </w:tc>
        <w:tc>
          <w:tcPr>
            <w:tcW w:w="1337" w:type="dxa"/>
            <w:gridSpan w:val="2"/>
            <w:tcBorders>
              <w:top w:val="single" w:sz="4" w:space="0" w:color="auto"/>
              <w:left w:val="single" w:sz="4" w:space="0" w:color="auto"/>
              <w:bottom w:val="single" w:sz="4" w:space="0" w:color="auto"/>
              <w:right w:val="single" w:sz="4" w:space="0" w:color="auto"/>
            </w:tcBorders>
          </w:tcPr>
          <w:p w14:paraId="03599780" w14:textId="14BA533B" w:rsidR="00F33351" w:rsidRDefault="00F33351" w:rsidP="00F33351">
            <w:pPr>
              <w:jc w:val="center"/>
            </w:pPr>
          </w:p>
        </w:tc>
        <w:tc>
          <w:tcPr>
            <w:tcW w:w="3727" w:type="dxa"/>
            <w:gridSpan w:val="2"/>
            <w:tcBorders>
              <w:top w:val="single" w:sz="4" w:space="0" w:color="auto"/>
              <w:left w:val="single" w:sz="4" w:space="0" w:color="auto"/>
              <w:bottom w:val="single" w:sz="4" w:space="0" w:color="auto"/>
              <w:right w:val="single" w:sz="4" w:space="0" w:color="auto"/>
            </w:tcBorders>
          </w:tcPr>
          <w:p w14:paraId="1F15ABBF" w14:textId="35C65512" w:rsidR="00F33351" w:rsidRDefault="00F33351" w:rsidP="00F33351"/>
        </w:tc>
      </w:tr>
    </w:tbl>
    <w:p w14:paraId="17AD5C50" w14:textId="77777777" w:rsidR="00A04E75" w:rsidRDefault="00A04E75" w:rsidP="00A04E75"/>
    <w:p w14:paraId="3032C870" w14:textId="77777777" w:rsidR="008E3B59" w:rsidRDefault="008E3B59"/>
    <w:sectPr w:rsidR="008E3B59" w:rsidSect="00967214">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3B7EA" w14:textId="77777777" w:rsidR="00000000" w:rsidRDefault="00F619DC">
      <w:pPr>
        <w:spacing w:after="0" w:line="240" w:lineRule="auto"/>
      </w:pPr>
      <w:r>
        <w:separator/>
      </w:r>
    </w:p>
  </w:endnote>
  <w:endnote w:type="continuationSeparator" w:id="0">
    <w:p w14:paraId="721E8745" w14:textId="77777777" w:rsidR="00000000" w:rsidRDefault="00F61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210326"/>
      <w:docPartObj>
        <w:docPartGallery w:val="Page Numbers (Bottom of Page)"/>
        <w:docPartUnique/>
      </w:docPartObj>
    </w:sdtPr>
    <w:sdtEndPr>
      <w:rPr>
        <w:noProof/>
      </w:rPr>
    </w:sdtEndPr>
    <w:sdtContent>
      <w:p w14:paraId="70BB2DD8" w14:textId="77777777" w:rsidR="00D30400" w:rsidRDefault="005152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AADEE" w14:textId="77777777" w:rsidR="00D30400" w:rsidRDefault="00F61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2DEAF" w14:textId="77777777" w:rsidR="00000000" w:rsidRDefault="00F619DC">
      <w:pPr>
        <w:spacing w:after="0" w:line="240" w:lineRule="auto"/>
      </w:pPr>
      <w:r>
        <w:separator/>
      </w:r>
    </w:p>
  </w:footnote>
  <w:footnote w:type="continuationSeparator" w:id="0">
    <w:p w14:paraId="7C6E786B" w14:textId="77777777" w:rsidR="00000000" w:rsidRDefault="00F61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40471"/>
    <w:multiLevelType w:val="hybridMultilevel"/>
    <w:tmpl w:val="01B25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745FD6"/>
    <w:multiLevelType w:val="hybridMultilevel"/>
    <w:tmpl w:val="E29AC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C28E3"/>
    <w:multiLevelType w:val="hybridMultilevel"/>
    <w:tmpl w:val="84C4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D22DE"/>
    <w:multiLevelType w:val="hybridMultilevel"/>
    <w:tmpl w:val="563A5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E7232"/>
    <w:multiLevelType w:val="hybridMultilevel"/>
    <w:tmpl w:val="3F52B616"/>
    <w:lvl w:ilvl="0" w:tplc="FA063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287565"/>
    <w:multiLevelType w:val="hybridMultilevel"/>
    <w:tmpl w:val="0D4E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B4FDE"/>
    <w:multiLevelType w:val="hybridMultilevel"/>
    <w:tmpl w:val="83B88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820651"/>
    <w:multiLevelType w:val="hybridMultilevel"/>
    <w:tmpl w:val="FE2C8C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4C5435"/>
    <w:multiLevelType w:val="hybridMultilevel"/>
    <w:tmpl w:val="63BC79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E955AA"/>
    <w:multiLevelType w:val="hybridMultilevel"/>
    <w:tmpl w:val="1BBE9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07CA6"/>
    <w:multiLevelType w:val="hybridMultilevel"/>
    <w:tmpl w:val="ABA8F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0"/>
  </w:num>
  <w:num w:numId="4">
    <w:abstractNumId w:val="4"/>
  </w:num>
  <w:num w:numId="5">
    <w:abstractNumId w:val="0"/>
  </w:num>
  <w:num w:numId="6">
    <w:abstractNumId w:val="9"/>
  </w:num>
  <w:num w:numId="7">
    <w:abstractNumId w:val="8"/>
  </w:num>
  <w:num w:numId="8">
    <w:abstractNumId w:val="6"/>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75"/>
    <w:rsid w:val="001406AB"/>
    <w:rsid w:val="00275F25"/>
    <w:rsid w:val="00515286"/>
    <w:rsid w:val="007A7AC4"/>
    <w:rsid w:val="008E3B59"/>
    <w:rsid w:val="009225D6"/>
    <w:rsid w:val="00A04E75"/>
    <w:rsid w:val="00A7522E"/>
    <w:rsid w:val="00F33351"/>
    <w:rsid w:val="00F6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CF9E"/>
  <w15:chartTrackingRefBased/>
  <w15:docId w15:val="{7ED56A99-E927-472D-B5C2-32D8646A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E75"/>
    <w:pPr>
      <w:ind w:left="720"/>
      <w:contextualSpacing/>
    </w:pPr>
  </w:style>
  <w:style w:type="paragraph" w:styleId="Footer">
    <w:name w:val="footer"/>
    <w:basedOn w:val="Normal"/>
    <w:link w:val="FooterChar"/>
    <w:uiPriority w:val="99"/>
    <w:unhideWhenUsed/>
    <w:rsid w:val="00A0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E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662F3864DC57E46ADA315AC4E957A07" ma:contentTypeVersion="17" ma:contentTypeDescription="Create a new document." ma:contentTypeScope="" ma:versionID="6ccd74b7e25b00a2836b980cff1c3cc0">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ce512bad-2b28-4096-ae40-76bd01cf5e12" xmlns:ns7="6669e9a3-6260-43ed-ae7f-330c21cb439d" targetNamespace="http://schemas.microsoft.com/office/2006/metadata/properties" ma:root="true" ma:fieldsID="812eb6b25b59ee617447143707d2ebde" ns1:_="" ns3:_="" ns4:_="" ns5:_="" ns6:_="" ns7:_="">
    <xsd:import namespace="http://schemas.microsoft.com/sharepoint/v3"/>
    <xsd:import namespace="4ffa91fb-a0ff-4ac5-b2db-65c790d184a4"/>
    <xsd:import namespace="http://schemas.microsoft.com/sharepoint.v3"/>
    <xsd:import namespace="http://schemas.microsoft.com/sharepoint/v3/fields"/>
    <xsd:import namespace="ce512bad-2b28-4096-ae40-76bd01cf5e12"/>
    <xsd:import namespace="6669e9a3-6260-43ed-ae7f-330c21cb439d"/>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7:SharedWithUsers" minOccurs="0"/>
                <xsd:element ref="ns7:SharedWithDetails" minOccurs="0"/>
                <xsd:element ref="ns7:SharingHintHash" minOccurs="0"/>
                <xsd:element ref="ns6:MediaServiceLocation" minOccurs="0"/>
                <xsd:element ref="ns7:Records_x0020_Status" minOccurs="0"/>
                <xsd:element ref="ns7:Records_x0020_Date"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092f6bd-57fd-4c43-8164-fe44059e4c01}" ma:internalName="TaxCatchAllLabel" ma:readOnly="true" ma:showField="CatchAllDataLabel" ma:web="6669e9a3-6260-43ed-ae7f-330c21cb439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092f6bd-57fd-4c43-8164-fe44059e4c01}" ma:internalName="TaxCatchAll" ma:showField="CatchAllData" ma:web="6669e9a3-6260-43ed-ae7f-330c21cb43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12bad-2b28-4096-ae40-76bd01cf5e1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69e9a3-6260-43ed-ae7f-330c21cb439d"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SharingHintHash" ma:index="37" nillable="true" ma:displayName="Sharing Hint Hash" ma:hidden="true" ma:internalName="SharingHintHash" ma:readOnly="true">
      <xsd:simpleType>
        <xsd:restriction base="dms:Text"/>
      </xsd:simpleType>
    </xsd:element>
    <xsd:element name="Records_x0020_Status" ma:index="39" nillable="true" ma:displayName="Records Status" ma:default="Pending" ma:internalName="Records_x0020_Status">
      <xsd:simpleType>
        <xsd:restriction base="dms:Text"/>
      </xsd:simpleType>
    </xsd:element>
    <xsd:element name="Records_x0020_Date" ma:index="40"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Date xmlns="6669e9a3-6260-43ed-ae7f-330c21cb439d" xsi:nil="true"/>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Records_x0020_Status xmlns="6669e9a3-6260-43ed-ae7f-330c21cb439d">Pending</Records_x0020_Status>
    <Document_x0020_Creation_x0020_Date xmlns="4ffa91fb-a0ff-4ac5-b2db-65c790d184a4">2020-12-18T20:28:36+00:00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DD6B8A-6C6A-4407-8D5C-4E1EF20F64C1}">
  <ds:schemaRefs>
    <ds:schemaRef ds:uri="Microsoft.SharePoint.Taxonomy.ContentTypeSync"/>
  </ds:schemaRefs>
</ds:datastoreItem>
</file>

<file path=customXml/itemProps2.xml><?xml version="1.0" encoding="utf-8"?>
<ds:datastoreItem xmlns:ds="http://schemas.openxmlformats.org/officeDocument/2006/customXml" ds:itemID="{F43ED270-4209-412A-B672-498B057D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ce512bad-2b28-4096-ae40-76bd01cf5e12"/>
    <ds:schemaRef ds:uri="6669e9a3-6260-43ed-ae7f-330c21cb4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61142-1077-40F7-A34E-7AFBBA68673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6669e9a3-6260-43ed-ae7f-330c21cb439d"/>
    <ds:schemaRef ds:uri="http://schemas.microsoft.com/sharepoint.v3"/>
  </ds:schemaRefs>
</ds:datastoreItem>
</file>

<file path=customXml/itemProps4.xml><?xml version="1.0" encoding="utf-8"?>
<ds:datastoreItem xmlns:ds="http://schemas.openxmlformats.org/officeDocument/2006/customXml" ds:itemID="{7319E1B9-75CC-4E23-B90F-1527C1B88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1027</Words>
  <Characters>5855</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Cassandra</dc:creator>
  <cp:keywords/>
  <dc:description/>
  <cp:lastModifiedBy>Pimpare, Justin</cp:lastModifiedBy>
  <cp:revision>2</cp:revision>
  <dcterms:created xsi:type="dcterms:W3CDTF">2021-11-01T20:28:00Z</dcterms:created>
  <dcterms:modified xsi:type="dcterms:W3CDTF">2021-11-01T20:28:00Z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0x010100E662F3864DC57E46ADA315AC4E957A07</vt:lpwstr>
  </property>
</Properties>
</file>